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276"/>
        <w:ind w:right="0" w:left="0" w:firstLine="0"/>
        <w:jc w:val="left"/>
        <w:rPr>
          <w:rFonts w:ascii="Georgia" w:hAnsi="Georgia" w:cs="Georgia" w:eastAsia="Georgia"/>
          <w:color w:val="auto"/>
          <w:spacing w:val="0"/>
          <w:position w:val="0"/>
          <w:sz w:val="22"/>
          <w:shd w:fill="auto" w:val="clear"/>
        </w:rPr>
      </w:pPr>
      <w:r>
        <w:rPr>
          <w:rFonts w:ascii="Georgia" w:hAnsi="Georgia" w:cs="Georgia" w:eastAsia="Georgia"/>
          <w:b/>
          <w:color w:val="auto"/>
          <w:spacing w:val="0"/>
          <w:position w:val="0"/>
          <w:sz w:val="22"/>
          <w:shd w:fill="auto" w:val="clear"/>
        </w:rPr>
        <w:t xml:space="preserve">Comunicato Stampa</w:t>
        <w:br/>
      </w:r>
      <w:r>
        <w:rPr>
          <w:rFonts w:ascii="Georgia" w:hAnsi="Georgia" w:cs="Georgia" w:eastAsia="Georgia"/>
          <w:color w:val="auto"/>
          <w:spacing w:val="0"/>
          <w:position w:val="0"/>
          <w:sz w:val="22"/>
          <w:shd w:fill="auto" w:val="clear"/>
        </w:rPr>
        <w:t xml:space="preserve">Comune di Ostiglia, 20 maggio 202o</w:t>
      </w:r>
    </w:p>
    <w:p>
      <w:pPr>
        <w:spacing w:before="0" w:after="200" w:line="276"/>
        <w:ind w:right="0" w:left="0" w:firstLine="0"/>
        <w:jc w:val="left"/>
        <w:rPr>
          <w:rFonts w:ascii="Georgia" w:hAnsi="Georgia" w:cs="Georgia" w:eastAsia="Georgia"/>
          <w:b/>
          <w:color w:val="auto"/>
          <w:spacing w:val="0"/>
          <w:position w:val="0"/>
          <w:sz w:val="22"/>
          <w:shd w:fill="auto" w:val="clear"/>
        </w:rPr>
      </w:pPr>
      <w:r>
        <w:rPr>
          <w:rFonts w:ascii="Georgia" w:hAnsi="Georgia" w:cs="Georgia" w:eastAsia="Georgia"/>
          <w:b/>
          <w:color w:val="auto"/>
          <w:spacing w:val="0"/>
          <w:position w:val="0"/>
          <w:sz w:val="22"/>
          <w:shd w:fill="auto" w:val="clear"/>
        </w:rPr>
        <w:t xml:space="preserve">BILANCIO DI PREVISIONE 2020-2022: BANDO DEL COMMERCIO FINO A 100 MILA EURO PER L'EMERGENZA SANITARIA. RIDUZIONE DELLE TASSE</w:t>
      </w:r>
    </w:p>
    <w:p>
      <w:pPr>
        <w:spacing w:before="0" w:after="200" w:line="276"/>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Il Consiglio Comunale del 19 maggio ha approvato il bilancio di previsione per gli anni 2020-2022. Tra le misure introdotte, tenendo conto del taglio del Fondo di Solidarietà comunale per circa 100 mila euro, ci sono interventi rivolti a chi ha subito danni dell'emergenza sanitaria: esenzione della Cosap (già applicata da gennaio), ampliamento del plateatico per bar e ristoranti, esenzioni tasse agli ambulanti per i mesi in cui non si è tenuto il mercato, misure sulla nuova Imu per i titolari di attività proprietari dei muri, esenzione della Tari per le attività rimaste chiuse questi tre mesi.</w:t>
      </w:r>
    </w:p>
    <w:p>
      <w:pPr>
        <w:spacing w:before="0" w:after="200" w:line="276"/>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Un ripensamento complessivo è stato valutato anche per il Bando del Commercio, sia per quanto riguarda i requisiti di accessibilità, che per l'importo da mettere a disposizione che l'Amministrazione intende raddoppiare rispetto all'anno scorso, incrementando le risorse da destinare, a fondo perduto, fino a 100 mila euro.  </w:t>
      </w:r>
    </w:p>
    <w:p>
      <w:pPr>
        <w:spacing w:before="0" w:after="200" w:line="276"/>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"Fin dall'inizio della pandemia, da affrontare sia dal punto di vista sanitario che sociale, questa Amministrazione ha pensato ad interventi concreti per sostenere cittadini e imprese, mettendo anche a rischio il bilancio comunale - ha spiegato l'assessore al Bilancio e Attività Produttive, Andrea Rivaroli -. La scorsa settimana abbiamo incontrato le categorie interessate per capire insieme quali potrebbero essere azioni e interventi. Ci impegneremo per un costante coinvolgimento delle associazioni di categoria per affrontare criticità che possono sorgere anche in futuro. Tutto questo sul bilancio impone una riflessione seria e preoccupata: saranno necessarie più variazini di bilancio per portare avanti iniziative ma solo quando avremo risposte certe da parte del Governo. E' questo un bilancio che tiene conto delle riduzioni dei tagli dei trasferimenti dello stato e il manetenimento dei servizi". </w:t>
      </w:r>
    </w:p>
    <w:p>
      <w:pPr>
        <w:spacing w:before="0" w:after="200" w:line="276"/>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b/>
          <w:color w:val="auto"/>
          <w:spacing w:val="0"/>
          <w:position w:val="0"/>
          <w:sz w:val="24"/>
          <w:shd w:fill="auto" w:val="clear"/>
        </w:rPr>
        <w:t xml:space="preserve">Gli obiettivi</w:t>
      </w:r>
      <w:r>
        <w:rPr>
          <w:rFonts w:ascii="Georgia" w:hAnsi="Georgia" w:cs="Georgia" w:eastAsia="Georgia"/>
          <w:color w:val="auto"/>
          <w:spacing w:val="0"/>
          <w:position w:val="0"/>
          <w:sz w:val="24"/>
          <w:shd w:fill="auto" w:val="clear"/>
        </w:rPr>
        <w:t xml:space="preserve">: sviluppo del turismo e del commercio, apertura ufficio del turismo con la collaborazione scuole; turismo diffuso; bando del commercio per erogazione contributi a fondo perduto; realizzazione di un'area di parcheggio camper attrezzata; viabiità sostenibile per realizzare finalmente il tratto ciclabile Ostiglia-Trevis; Cittadella della Salute nel centro Leoni; ciclabile da via Viazzuolo fino a Strada Arginino; razionalizzare la viabilità; riqualificare tutti i punti luce sul territorio; colonnina per ricarica auto elettriche; realizzazione di un chiosco ai giardini di via XX Settembre; riqualificazione degli impianti sportivi. </w:t>
        <w:br/>
        <w:t xml:space="preserve">Nell'ambito dei servizi sociali sono riconfermati: il sostegno economico alle fragilità; Servizio civico comunale e lavori di pubblica utilità; raccolta alimentare e orto sociale; percorso educativa di strada per gli adolescenti. </w:t>
      </w:r>
    </w:p>
    <w:p>
      <w:pPr>
        <w:spacing w:before="0" w:after="200" w:line="276"/>
        <w:ind w:right="0" w:left="0" w:firstLine="0"/>
        <w:jc w:val="both"/>
        <w:rPr>
          <w:rFonts w:ascii="Georgia" w:hAnsi="Georgia" w:cs="Georgia" w:eastAsia="Georgia"/>
          <w:color w:val="auto"/>
          <w:spacing w:val="0"/>
          <w:position w:val="0"/>
          <w:sz w:val="24"/>
          <w:shd w:fill="auto" w:val="clear"/>
        </w:rPr>
      </w:pPr>
      <w:r>
        <w:rPr>
          <w:rFonts w:ascii="Georgia" w:hAnsi="Georgia" w:cs="Georgia" w:eastAsia="Georgia"/>
          <w:color w:val="auto"/>
          <w:spacing w:val="0"/>
          <w:position w:val="0"/>
          <w:sz w:val="24"/>
          <w:shd w:fill="auto" w:val="clear"/>
        </w:rPr>
        <w:t xml:space="preserve">Nel programma c'è la promozione delle aree naturalistiche: raccolta rifiuti abbandonati e pulizia delle strade; mantenimento delle principali manifestazioni. </w:t>
        <w:br/>
        <w:t xml:space="preserve">Completamento del campo da calcio a Correggioli. </w:t>
      </w:r>
    </w:p>
    <w:p>
      <w:pPr>
        <w:spacing w:before="0" w:after="200" w:line="276"/>
        <w:ind w:right="0" w:left="0" w:firstLine="0"/>
        <w:jc w:val="left"/>
        <w:rPr>
          <w:rFonts w:ascii="Georgia" w:hAnsi="Georgia" w:cs="Georgia" w:eastAsia="Georgia"/>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